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F942" w14:textId="77777777" w:rsidR="00BD6A07" w:rsidRPr="00BD6A07" w:rsidRDefault="00BD6A07" w:rsidP="00BD6A07">
      <w:pPr>
        <w:pStyle w:val="BodyText2"/>
        <w:ind w:left="1440"/>
        <w:jc w:val="center"/>
        <w:rPr>
          <w:rFonts w:asciiTheme="minorHAnsi" w:hAnsiTheme="minorHAnsi"/>
          <w:sz w:val="36"/>
          <w:szCs w:val="36"/>
        </w:rPr>
      </w:pPr>
      <w:r w:rsidRPr="00BD6A07">
        <w:rPr>
          <w:rFonts w:asciiTheme="minorHAnsi" w:hAnsiTheme="minorHAnsi"/>
          <w:noProof/>
          <w:sz w:val="36"/>
          <w:szCs w:val="36"/>
        </w:rPr>
        <mc:AlternateContent>
          <mc:Choice Requires="wps">
            <w:drawing>
              <wp:anchor distT="0" distB="0" distL="114300" distR="114300" simplePos="0" relativeHeight="251659264" behindDoc="0" locked="0" layoutInCell="0" allowOverlap="1" wp14:anchorId="04342ADD" wp14:editId="605D17F5">
                <wp:simplePos x="0" y="0"/>
                <wp:positionH relativeFrom="column">
                  <wp:posOffset>4069080</wp:posOffset>
                </wp:positionH>
                <wp:positionV relativeFrom="paragraph">
                  <wp:posOffset>-274320</wp:posOffset>
                </wp:positionV>
                <wp:extent cx="2743200" cy="274320"/>
                <wp:effectExtent l="1905" t="635"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92D234" w14:textId="77777777" w:rsidR="00BD6A07" w:rsidRDefault="00BD6A07" w:rsidP="00BD6A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42ADD" id="Rectangle 1" o:spid="_x0000_s1026" style="position:absolute;left:0;text-align:left;margin-left:320.4pt;margin-top:-21.6pt;width:3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" o:allowincell="f" stroked="f" strokeweight="0">
                <v:textbox inset="0,0,0,0">
                  <w:txbxContent>
                    <w:p w14:paraId="5392D234" w14:textId="77777777" w:rsidR="00BD6A07" w:rsidRDefault="00BD6A07" w:rsidP="00BD6A07"/>
                  </w:txbxContent>
                </v:textbox>
              </v:rect>
            </w:pict>
          </mc:Fallback>
        </mc:AlternateContent>
      </w:r>
      <w:r w:rsidRPr="00BD6A07">
        <w:rPr>
          <w:rFonts w:asciiTheme="minorHAnsi" w:hAnsiTheme="minorHAnsi"/>
          <w:sz w:val="36"/>
          <w:szCs w:val="36"/>
        </w:rPr>
        <w:t>Business Income Worksheet</w:t>
      </w:r>
    </w:p>
    <w:p w14:paraId="5E1F3F7A" w14:textId="77777777" w:rsidR="00BD6A07" w:rsidRDefault="00BD6A07" w:rsidP="00BD6A07">
      <w:pPr>
        <w:pStyle w:val="Title"/>
        <w:ind w:left="1440"/>
        <w:rPr>
          <w:rFonts w:ascii="Arial" w:hAnsi="Arial"/>
          <w:sz w:val="18"/>
        </w:rPr>
      </w:pPr>
    </w:p>
    <w:p w14:paraId="6FD317BD" w14:textId="77777777" w:rsidR="00BD6A07" w:rsidRDefault="00BD6A07" w:rsidP="00BD6A07">
      <w:pPr>
        <w:pStyle w:val="Header"/>
        <w:tabs>
          <w:tab w:val="clear" w:pos="4320"/>
          <w:tab w:val="clear" w:pos="8640"/>
        </w:tabs>
        <w:ind w:left="720"/>
        <w:rPr>
          <w:rFonts w:ascii="Arial" w:hAnsi="Arial"/>
          <w:sz w:val="18"/>
        </w:rPr>
      </w:pPr>
    </w:p>
    <w:p w14:paraId="1042A77F" w14:textId="77777777" w:rsidR="00BD6A07" w:rsidRDefault="00BD6A07" w:rsidP="00BD6A07">
      <w:pPr>
        <w:ind w:left="720"/>
        <w:rPr>
          <w:rFonts w:ascii="Arial" w:hAnsi="Arial"/>
          <w:sz w:val="18"/>
        </w:rPr>
      </w:pPr>
      <w:r>
        <w:rPr>
          <w:rFonts w:ascii="Arial" w:hAnsi="Arial"/>
          <w:b/>
          <w:sz w:val="18"/>
        </w:rPr>
        <w:t>Notes: Calculate on accrual basis (not a cash basis) and provide actual values for 12 months figuring on the fiscal year.</w:t>
      </w:r>
    </w:p>
    <w:p w14:paraId="68207419" w14:textId="77777777" w:rsidR="00BD6A07" w:rsidRDefault="00BD6A07" w:rsidP="00BD6A07">
      <w:pPr>
        <w:ind w:left="1440"/>
        <w:rPr>
          <w:rFonts w:ascii="Arial" w:hAnsi="Arial"/>
          <w:sz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50"/>
        <w:gridCol w:w="1282"/>
        <w:gridCol w:w="1282"/>
        <w:gridCol w:w="1282"/>
        <w:gridCol w:w="1277"/>
      </w:tblGrid>
      <w:tr w:rsidR="00BD6A07" w14:paraId="20879941" w14:textId="77777777" w:rsidTr="00154DDE">
        <w:tc>
          <w:tcPr>
            <w:tcW w:w="4950" w:type="dxa"/>
            <w:tcBorders>
              <w:top w:val="single" w:sz="6" w:space="0" w:color="auto"/>
              <w:left w:val="single" w:sz="6" w:space="0" w:color="auto"/>
              <w:bottom w:val="single" w:sz="6" w:space="0" w:color="auto"/>
              <w:right w:val="single" w:sz="6" w:space="0" w:color="auto"/>
            </w:tcBorders>
          </w:tcPr>
          <w:p w14:paraId="4012CF6E" w14:textId="77777777" w:rsidR="00BD6A07" w:rsidRDefault="00BD6A07" w:rsidP="00154DDE">
            <w:pPr>
              <w:rPr>
                <w:rFonts w:ascii="Arial" w:hAnsi="Arial"/>
                <w:b/>
                <w:sz w:val="18"/>
              </w:rPr>
            </w:pPr>
          </w:p>
        </w:tc>
        <w:tc>
          <w:tcPr>
            <w:tcW w:w="1282" w:type="dxa"/>
            <w:tcBorders>
              <w:top w:val="single" w:sz="6" w:space="0" w:color="auto"/>
              <w:left w:val="single" w:sz="6" w:space="0" w:color="auto"/>
              <w:bottom w:val="single" w:sz="6" w:space="0" w:color="auto"/>
              <w:right w:val="single" w:sz="6" w:space="0" w:color="auto"/>
            </w:tcBorders>
          </w:tcPr>
          <w:p w14:paraId="2CAC7B77" w14:textId="77777777" w:rsidR="00BD6A07" w:rsidRDefault="00BD6A07" w:rsidP="00154DDE">
            <w:pPr>
              <w:rPr>
                <w:rFonts w:ascii="Arial" w:hAnsi="Arial"/>
                <w:b/>
                <w:sz w:val="18"/>
              </w:rPr>
            </w:pPr>
            <w:r>
              <w:rPr>
                <w:rFonts w:ascii="Arial" w:hAnsi="Arial"/>
                <w:b/>
                <w:sz w:val="18"/>
              </w:rPr>
              <w:t>Example</w:t>
            </w:r>
          </w:p>
        </w:tc>
        <w:tc>
          <w:tcPr>
            <w:tcW w:w="1282" w:type="dxa"/>
            <w:tcBorders>
              <w:top w:val="single" w:sz="6" w:space="0" w:color="auto"/>
              <w:left w:val="single" w:sz="6" w:space="0" w:color="auto"/>
              <w:bottom w:val="single" w:sz="6" w:space="0" w:color="auto"/>
              <w:right w:val="single" w:sz="6" w:space="0" w:color="auto"/>
            </w:tcBorders>
          </w:tcPr>
          <w:p w14:paraId="70094929" w14:textId="77777777" w:rsidR="00BD6A07" w:rsidRDefault="00BD6A07" w:rsidP="00154DDE">
            <w:pPr>
              <w:rPr>
                <w:rFonts w:ascii="Arial" w:hAnsi="Arial"/>
                <w:b/>
                <w:sz w:val="18"/>
              </w:rPr>
            </w:pPr>
            <w:r>
              <w:rPr>
                <w:rFonts w:ascii="Arial" w:hAnsi="Arial"/>
                <w:b/>
                <w:sz w:val="18"/>
              </w:rPr>
              <w:t>Location 1</w:t>
            </w:r>
          </w:p>
        </w:tc>
        <w:tc>
          <w:tcPr>
            <w:tcW w:w="1282" w:type="dxa"/>
            <w:tcBorders>
              <w:top w:val="single" w:sz="6" w:space="0" w:color="auto"/>
              <w:left w:val="single" w:sz="6" w:space="0" w:color="auto"/>
              <w:bottom w:val="single" w:sz="6" w:space="0" w:color="auto"/>
              <w:right w:val="single" w:sz="6" w:space="0" w:color="auto"/>
            </w:tcBorders>
          </w:tcPr>
          <w:p w14:paraId="2F48AE4B" w14:textId="77777777" w:rsidR="00BD6A07" w:rsidRDefault="00BD6A07" w:rsidP="00154DDE">
            <w:pPr>
              <w:rPr>
                <w:rFonts w:ascii="Arial" w:hAnsi="Arial"/>
                <w:b/>
                <w:sz w:val="18"/>
              </w:rPr>
            </w:pPr>
            <w:r>
              <w:rPr>
                <w:rFonts w:ascii="Arial" w:hAnsi="Arial"/>
                <w:b/>
                <w:sz w:val="18"/>
              </w:rPr>
              <w:t>Location 2</w:t>
            </w:r>
          </w:p>
        </w:tc>
        <w:tc>
          <w:tcPr>
            <w:tcW w:w="1277" w:type="dxa"/>
            <w:tcBorders>
              <w:top w:val="single" w:sz="6" w:space="0" w:color="auto"/>
              <w:left w:val="single" w:sz="6" w:space="0" w:color="auto"/>
              <w:bottom w:val="single" w:sz="6" w:space="0" w:color="auto"/>
              <w:right w:val="single" w:sz="6" w:space="0" w:color="auto"/>
            </w:tcBorders>
          </w:tcPr>
          <w:p w14:paraId="12534B97" w14:textId="77777777" w:rsidR="00BD6A07" w:rsidRDefault="00BD6A07" w:rsidP="00154DDE">
            <w:pPr>
              <w:rPr>
                <w:rFonts w:ascii="Arial" w:hAnsi="Arial"/>
                <w:b/>
                <w:sz w:val="18"/>
              </w:rPr>
            </w:pPr>
            <w:r>
              <w:rPr>
                <w:rFonts w:ascii="Arial" w:hAnsi="Arial"/>
                <w:b/>
                <w:sz w:val="18"/>
              </w:rPr>
              <w:t>Location 3</w:t>
            </w:r>
          </w:p>
        </w:tc>
      </w:tr>
      <w:tr w:rsidR="00BD6A07" w14:paraId="4FD60EE9" w14:textId="77777777" w:rsidTr="00154DDE">
        <w:tc>
          <w:tcPr>
            <w:tcW w:w="4950" w:type="dxa"/>
            <w:tcBorders>
              <w:top w:val="single" w:sz="6" w:space="0" w:color="auto"/>
              <w:left w:val="single" w:sz="6" w:space="0" w:color="auto"/>
              <w:bottom w:val="single" w:sz="6" w:space="0" w:color="auto"/>
              <w:right w:val="single" w:sz="6" w:space="0" w:color="auto"/>
            </w:tcBorders>
          </w:tcPr>
          <w:p w14:paraId="0D0F0B56" w14:textId="77777777" w:rsidR="00BD6A07" w:rsidRDefault="00BD6A07" w:rsidP="00154DDE">
            <w:pPr>
              <w:rPr>
                <w:rFonts w:ascii="Arial" w:hAnsi="Arial"/>
                <w:sz w:val="18"/>
              </w:rPr>
            </w:pPr>
            <w:r>
              <w:rPr>
                <w:rFonts w:ascii="Arial" w:hAnsi="Arial"/>
                <w:b/>
                <w:sz w:val="18"/>
              </w:rPr>
              <w:t>Net Annual Sales</w:t>
            </w:r>
            <w:r>
              <w:rPr>
                <w:rFonts w:ascii="Arial" w:hAnsi="Arial"/>
                <w:sz w:val="18"/>
              </w:rPr>
              <w:t xml:space="preserve">: the gross sales – </w:t>
            </w:r>
            <w:r>
              <w:rPr>
                <w:rFonts w:ascii="Arial" w:hAnsi="Arial"/>
                <w:b/>
                <w:i/>
                <w:sz w:val="18"/>
                <w:u w:val="single"/>
              </w:rPr>
              <w:t>less</w:t>
            </w:r>
            <w:r>
              <w:rPr>
                <w:rFonts w:ascii="Arial" w:hAnsi="Arial"/>
                <w:sz w:val="18"/>
              </w:rPr>
              <w:t xml:space="preserve">: discounts, returns, allowances, bad debt, collection expenses and prepaid freight – </w:t>
            </w:r>
            <w:r>
              <w:rPr>
                <w:rFonts w:ascii="Arial" w:hAnsi="Arial"/>
                <w:b/>
                <w:i/>
                <w:sz w:val="18"/>
                <w:u w:val="single"/>
              </w:rPr>
              <w:t>plus</w:t>
            </w:r>
            <w:r>
              <w:rPr>
                <w:rFonts w:ascii="Arial" w:hAnsi="Arial"/>
                <w:sz w:val="18"/>
              </w:rPr>
              <w:t>: other earnings from your business operations such as rents, commissions, cash discounts received, interest or service fees.</w:t>
            </w:r>
          </w:p>
          <w:p w14:paraId="1532A8FA" w14:textId="77777777" w:rsidR="00BD6A07" w:rsidRDefault="00BD6A07" w:rsidP="00154DDE">
            <w:pPr>
              <w:rPr>
                <w:rFonts w:ascii="Arial" w:hAnsi="Arial"/>
                <w:sz w:val="18"/>
              </w:rPr>
            </w:pPr>
          </w:p>
          <w:p w14:paraId="53894447" w14:textId="77777777" w:rsidR="00BD6A07" w:rsidRDefault="00BD6A07" w:rsidP="00154DDE">
            <w:pPr>
              <w:rPr>
                <w:rFonts w:ascii="Arial" w:hAnsi="Arial"/>
                <w:sz w:val="18"/>
              </w:rPr>
            </w:pPr>
            <w:r>
              <w:rPr>
                <w:rFonts w:ascii="Arial" w:hAnsi="Arial"/>
                <w:sz w:val="18"/>
              </w:rPr>
              <w:t>(For manufacturing risks: add or subtract the change in finished goods inventory during the year.  If inventory has increased, add the amount of the increase.  If inventory has decreased, subtract the amount of the decrease.)</w:t>
            </w:r>
          </w:p>
        </w:tc>
        <w:tc>
          <w:tcPr>
            <w:tcW w:w="1282" w:type="dxa"/>
            <w:tcBorders>
              <w:top w:val="single" w:sz="6" w:space="0" w:color="auto"/>
              <w:left w:val="single" w:sz="6" w:space="0" w:color="auto"/>
              <w:bottom w:val="single" w:sz="6" w:space="0" w:color="auto"/>
              <w:right w:val="single" w:sz="6" w:space="0" w:color="auto"/>
            </w:tcBorders>
          </w:tcPr>
          <w:p w14:paraId="540D403E" w14:textId="77777777" w:rsidR="00BD6A07" w:rsidRDefault="00BD6A07" w:rsidP="00154DDE">
            <w:pPr>
              <w:spacing w:before="1200"/>
              <w:rPr>
                <w:rFonts w:ascii="Arial" w:hAnsi="Arial"/>
                <w:b/>
                <w:sz w:val="18"/>
              </w:rPr>
            </w:pPr>
            <w:r>
              <w:rPr>
                <w:rFonts w:ascii="Arial" w:hAnsi="Arial"/>
                <w:b/>
                <w:sz w:val="18"/>
              </w:rPr>
              <w:t>$4,450,000</w:t>
            </w:r>
          </w:p>
        </w:tc>
        <w:tc>
          <w:tcPr>
            <w:tcW w:w="1282" w:type="dxa"/>
            <w:tcBorders>
              <w:top w:val="single" w:sz="6" w:space="0" w:color="auto"/>
              <w:left w:val="single" w:sz="6" w:space="0" w:color="auto"/>
              <w:bottom w:val="single" w:sz="6" w:space="0" w:color="auto"/>
              <w:right w:val="single" w:sz="6" w:space="0" w:color="auto"/>
            </w:tcBorders>
          </w:tcPr>
          <w:p w14:paraId="1B666C4F" w14:textId="77777777" w:rsidR="00BD6A07" w:rsidRDefault="00BD6A07" w:rsidP="00154DDE">
            <w:pPr>
              <w:spacing w:before="1200"/>
              <w:rPr>
                <w:rFonts w:ascii="Arial" w:hAnsi="Arial"/>
                <w:b/>
                <w:sz w:val="18"/>
              </w:rPr>
            </w:pPr>
          </w:p>
        </w:tc>
        <w:tc>
          <w:tcPr>
            <w:tcW w:w="1282" w:type="dxa"/>
            <w:tcBorders>
              <w:top w:val="single" w:sz="6" w:space="0" w:color="auto"/>
              <w:left w:val="single" w:sz="6" w:space="0" w:color="auto"/>
              <w:bottom w:val="single" w:sz="6" w:space="0" w:color="auto"/>
              <w:right w:val="single" w:sz="6" w:space="0" w:color="auto"/>
            </w:tcBorders>
          </w:tcPr>
          <w:p w14:paraId="4355C7C0" w14:textId="77777777" w:rsidR="00BD6A07" w:rsidRDefault="00BD6A07" w:rsidP="00154DDE">
            <w:pPr>
              <w:spacing w:before="1200"/>
              <w:rPr>
                <w:rFonts w:ascii="Arial" w:hAnsi="Arial"/>
                <w:b/>
                <w:sz w:val="18"/>
              </w:rPr>
            </w:pPr>
          </w:p>
        </w:tc>
        <w:tc>
          <w:tcPr>
            <w:tcW w:w="1277" w:type="dxa"/>
            <w:tcBorders>
              <w:top w:val="single" w:sz="6" w:space="0" w:color="auto"/>
              <w:left w:val="single" w:sz="6" w:space="0" w:color="auto"/>
              <w:bottom w:val="single" w:sz="6" w:space="0" w:color="auto"/>
              <w:right w:val="single" w:sz="6" w:space="0" w:color="auto"/>
            </w:tcBorders>
          </w:tcPr>
          <w:p w14:paraId="4CDCDB4E" w14:textId="77777777" w:rsidR="00BD6A07" w:rsidRDefault="00BD6A07" w:rsidP="00154DDE">
            <w:pPr>
              <w:spacing w:before="1200"/>
              <w:rPr>
                <w:rFonts w:ascii="Arial" w:hAnsi="Arial"/>
                <w:b/>
                <w:sz w:val="18"/>
              </w:rPr>
            </w:pPr>
          </w:p>
        </w:tc>
      </w:tr>
      <w:tr w:rsidR="00BD6A07" w14:paraId="7E76387A" w14:textId="77777777" w:rsidTr="00154DDE">
        <w:tc>
          <w:tcPr>
            <w:tcW w:w="4950" w:type="dxa"/>
            <w:tcBorders>
              <w:top w:val="single" w:sz="6" w:space="0" w:color="auto"/>
              <w:left w:val="single" w:sz="6" w:space="0" w:color="auto"/>
              <w:bottom w:val="single" w:sz="6" w:space="0" w:color="auto"/>
              <w:right w:val="single" w:sz="6" w:space="0" w:color="auto"/>
            </w:tcBorders>
          </w:tcPr>
          <w:p w14:paraId="6206D6BC" w14:textId="77777777" w:rsidR="00BD6A07" w:rsidRDefault="00BD6A07" w:rsidP="00154DDE">
            <w:pPr>
              <w:rPr>
                <w:rFonts w:ascii="Arial" w:hAnsi="Arial"/>
                <w:sz w:val="18"/>
              </w:rPr>
            </w:pPr>
            <w:r>
              <w:rPr>
                <w:rFonts w:ascii="Arial" w:hAnsi="Arial"/>
                <w:b/>
                <w:sz w:val="18"/>
              </w:rPr>
              <w:t>Cost of Goods Sold</w:t>
            </w:r>
            <w:r>
              <w:rPr>
                <w:rFonts w:ascii="Arial" w:hAnsi="Arial"/>
                <w:sz w:val="18"/>
              </w:rPr>
              <w:t>: deduct the cost of non-continuing outside services and the cost of (1) raw stock used in production, (2) materials directly consumed in production &amp; (3) merchandise sold including packaging materials and (4) services purchased from subcontractors.</w:t>
            </w:r>
          </w:p>
        </w:tc>
        <w:tc>
          <w:tcPr>
            <w:tcW w:w="1282" w:type="dxa"/>
            <w:tcBorders>
              <w:top w:val="single" w:sz="6" w:space="0" w:color="auto"/>
              <w:left w:val="single" w:sz="6" w:space="0" w:color="auto"/>
              <w:bottom w:val="single" w:sz="6" w:space="0" w:color="auto"/>
              <w:right w:val="single" w:sz="6" w:space="0" w:color="auto"/>
            </w:tcBorders>
          </w:tcPr>
          <w:p w14:paraId="3B68DF30" w14:textId="77777777" w:rsidR="00BD6A07" w:rsidRDefault="00BD6A07" w:rsidP="00154DDE">
            <w:pPr>
              <w:spacing w:before="600"/>
              <w:rPr>
                <w:rFonts w:ascii="Arial" w:hAnsi="Arial"/>
                <w:b/>
                <w:sz w:val="18"/>
              </w:rPr>
            </w:pPr>
            <w:r>
              <w:rPr>
                <w:rFonts w:ascii="Arial" w:hAnsi="Arial"/>
                <w:b/>
                <w:sz w:val="18"/>
              </w:rPr>
              <w:t>-$2,800,000</w:t>
            </w:r>
          </w:p>
        </w:tc>
        <w:tc>
          <w:tcPr>
            <w:tcW w:w="1282" w:type="dxa"/>
            <w:tcBorders>
              <w:top w:val="single" w:sz="6" w:space="0" w:color="auto"/>
              <w:left w:val="single" w:sz="6" w:space="0" w:color="auto"/>
              <w:bottom w:val="single" w:sz="6" w:space="0" w:color="auto"/>
              <w:right w:val="single" w:sz="6" w:space="0" w:color="auto"/>
            </w:tcBorders>
          </w:tcPr>
          <w:p w14:paraId="4146F5B3" w14:textId="77777777" w:rsidR="00BD6A07" w:rsidRDefault="00BD6A07" w:rsidP="00154DDE">
            <w:pPr>
              <w:spacing w:before="60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5A4CB5E2" w14:textId="77777777" w:rsidR="00BD6A07" w:rsidRDefault="00BD6A07" w:rsidP="00154DDE">
            <w:pPr>
              <w:spacing w:before="60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4BEA817B" w14:textId="77777777" w:rsidR="00BD6A07" w:rsidRDefault="00BD6A07" w:rsidP="00154DDE">
            <w:pPr>
              <w:spacing w:before="600"/>
              <w:rPr>
                <w:rFonts w:ascii="Arial" w:hAnsi="Arial"/>
                <w:b/>
                <w:sz w:val="18"/>
              </w:rPr>
            </w:pPr>
            <w:r>
              <w:rPr>
                <w:rFonts w:ascii="Arial" w:hAnsi="Arial"/>
                <w:b/>
                <w:sz w:val="18"/>
              </w:rPr>
              <w:t>-</w:t>
            </w:r>
          </w:p>
        </w:tc>
      </w:tr>
      <w:tr w:rsidR="00BD6A07" w14:paraId="5127248F" w14:textId="77777777" w:rsidTr="00154DDE">
        <w:tc>
          <w:tcPr>
            <w:tcW w:w="4950" w:type="dxa"/>
            <w:tcBorders>
              <w:top w:val="single" w:sz="6" w:space="0" w:color="auto"/>
              <w:left w:val="single" w:sz="6" w:space="0" w:color="auto"/>
              <w:bottom w:val="single" w:sz="6" w:space="0" w:color="auto"/>
              <w:right w:val="single" w:sz="6" w:space="0" w:color="auto"/>
            </w:tcBorders>
          </w:tcPr>
          <w:p w14:paraId="186196A3" w14:textId="77777777" w:rsidR="00BD6A07" w:rsidRDefault="00BD6A07" w:rsidP="00154DDE">
            <w:pPr>
              <w:rPr>
                <w:rFonts w:ascii="Arial" w:hAnsi="Arial"/>
                <w:sz w:val="18"/>
              </w:rPr>
            </w:pPr>
            <w:r>
              <w:rPr>
                <w:rFonts w:ascii="Arial" w:hAnsi="Arial"/>
                <w:b/>
                <w:sz w:val="18"/>
              </w:rPr>
              <w:t xml:space="preserve">Power, Heat &amp; Refrigeration: </w:t>
            </w:r>
            <w:r>
              <w:rPr>
                <w:rFonts w:ascii="Arial" w:hAnsi="Arial"/>
                <w:sz w:val="18"/>
              </w:rPr>
              <w:t>If the Power, Heat and Refrigeration Deduction Endorsement applies</w:t>
            </w:r>
            <w:r>
              <w:rPr>
                <w:rFonts w:ascii="Arial" w:hAnsi="Arial"/>
                <w:b/>
                <w:sz w:val="18"/>
              </w:rPr>
              <w:t xml:space="preserve"> </w:t>
            </w:r>
            <w:r>
              <w:rPr>
                <w:rFonts w:ascii="Arial" w:hAnsi="Arial"/>
                <w:sz w:val="18"/>
              </w:rPr>
              <w:t>deduct the cost of this services that don’t continue under contract</w:t>
            </w:r>
          </w:p>
        </w:tc>
        <w:tc>
          <w:tcPr>
            <w:tcW w:w="1282" w:type="dxa"/>
            <w:tcBorders>
              <w:top w:val="single" w:sz="6" w:space="0" w:color="auto"/>
              <w:left w:val="single" w:sz="6" w:space="0" w:color="auto"/>
              <w:bottom w:val="single" w:sz="6" w:space="0" w:color="auto"/>
              <w:right w:val="single" w:sz="6" w:space="0" w:color="auto"/>
            </w:tcBorders>
          </w:tcPr>
          <w:p w14:paraId="72DC977F"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13ACCA64"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66DD1D7E" w14:textId="77777777" w:rsidR="00BD6A07" w:rsidRDefault="00BD6A07" w:rsidP="00154DDE">
            <w:pPr>
              <w:spacing w:before="36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4BC14955" w14:textId="77777777" w:rsidR="00BD6A07" w:rsidRDefault="00BD6A07" w:rsidP="00154DDE">
            <w:pPr>
              <w:spacing w:before="360"/>
              <w:rPr>
                <w:rFonts w:ascii="Arial" w:hAnsi="Arial"/>
                <w:b/>
                <w:sz w:val="18"/>
              </w:rPr>
            </w:pPr>
            <w:r>
              <w:rPr>
                <w:rFonts w:ascii="Arial" w:hAnsi="Arial"/>
                <w:b/>
                <w:sz w:val="18"/>
              </w:rPr>
              <w:t>-</w:t>
            </w:r>
          </w:p>
        </w:tc>
      </w:tr>
      <w:tr w:rsidR="00BD6A07" w14:paraId="2155AF50" w14:textId="77777777" w:rsidTr="00154DDE">
        <w:tc>
          <w:tcPr>
            <w:tcW w:w="4950" w:type="dxa"/>
            <w:tcBorders>
              <w:top w:val="single" w:sz="6" w:space="0" w:color="auto"/>
              <w:left w:val="single" w:sz="6" w:space="0" w:color="auto"/>
              <w:bottom w:val="single" w:sz="6" w:space="0" w:color="auto"/>
              <w:right w:val="single" w:sz="6" w:space="0" w:color="auto"/>
            </w:tcBorders>
          </w:tcPr>
          <w:p w14:paraId="65B26441" w14:textId="77777777" w:rsidR="00BD6A07" w:rsidRDefault="00BD6A07" w:rsidP="00154DDE">
            <w:pPr>
              <w:rPr>
                <w:rFonts w:ascii="Arial" w:hAnsi="Arial"/>
                <w:sz w:val="18"/>
              </w:rPr>
            </w:pPr>
            <w:r>
              <w:rPr>
                <w:rFonts w:ascii="Arial" w:hAnsi="Arial"/>
                <w:b/>
                <w:sz w:val="18"/>
              </w:rPr>
              <w:t xml:space="preserve">Ordinary Payroll: </w:t>
            </w:r>
            <w:r>
              <w:rPr>
                <w:rFonts w:ascii="Arial" w:hAnsi="Arial"/>
                <w:sz w:val="18"/>
              </w:rPr>
              <w:t>If the ordinary payroll exclusion applies deduct all ordinary payroll expenses or the amount of payroll expenses to be excluded</w:t>
            </w:r>
          </w:p>
        </w:tc>
        <w:tc>
          <w:tcPr>
            <w:tcW w:w="1282" w:type="dxa"/>
            <w:tcBorders>
              <w:top w:val="single" w:sz="6" w:space="0" w:color="auto"/>
              <w:left w:val="single" w:sz="6" w:space="0" w:color="auto"/>
              <w:bottom w:val="single" w:sz="6" w:space="0" w:color="auto"/>
              <w:right w:val="single" w:sz="6" w:space="0" w:color="auto"/>
            </w:tcBorders>
          </w:tcPr>
          <w:p w14:paraId="07BCF772"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776D7E1E"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3E8C3D75" w14:textId="77777777" w:rsidR="00BD6A07" w:rsidRDefault="00BD6A07" w:rsidP="00154DDE">
            <w:pPr>
              <w:spacing w:before="36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251E9563" w14:textId="77777777" w:rsidR="00BD6A07" w:rsidRDefault="00BD6A07" w:rsidP="00154DDE">
            <w:pPr>
              <w:spacing w:before="360"/>
              <w:rPr>
                <w:rFonts w:ascii="Arial" w:hAnsi="Arial"/>
                <w:b/>
                <w:sz w:val="18"/>
              </w:rPr>
            </w:pPr>
            <w:r>
              <w:rPr>
                <w:rFonts w:ascii="Arial" w:hAnsi="Arial"/>
                <w:b/>
                <w:sz w:val="18"/>
              </w:rPr>
              <w:t>-</w:t>
            </w:r>
          </w:p>
        </w:tc>
      </w:tr>
      <w:tr w:rsidR="00BD6A07" w14:paraId="673EE7B9" w14:textId="77777777" w:rsidTr="00154DDE">
        <w:tc>
          <w:tcPr>
            <w:tcW w:w="4950" w:type="dxa"/>
            <w:tcBorders>
              <w:top w:val="single" w:sz="6" w:space="0" w:color="auto"/>
              <w:left w:val="single" w:sz="6" w:space="0" w:color="auto"/>
              <w:bottom w:val="single" w:sz="6" w:space="0" w:color="auto"/>
              <w:right w:val="single" w:sz="6" w:space="0" w:color="auto"/>
            </w:tcBorders>
          </w:tcPr>
          <w:p w14:paraId="6F335A50" w14:textId="77777777" w:rsidR="00BD6A07" w:rsidRDefault="00BD6A07" w:rsidP="00154DDE">
            <w:pPr>
              <w:rPr>
                <w:rFonts w:ascii="Arial" w:hAnsi="Arial"/>
                <w:b/>
                <w:sz w:val="18"/>
              </w:rPr>
            </w:pPr>
            <w:r>
              <w:rPr>
                <w:rFonts w:ascii="Arial" w:hAnsi="Arial"/>
                <w:b/>
                <w:sz w:val="18"/>
              </w:rPr>
              <w:t>100% Business Income Exposure</w:t>
            </w:r>
          </w:p>
        </w:tc>
        <w:tc>
          <w:tcPr>
            <w:tcW w:w="1282" w:type="dxa"/>
            <w:tcBorders>
              <w:top w:val="single" w:sz="6" w:space="0" w:color="auto"/>
              <w:left w:val="single" w:sz="6" w:space="0" w:color="auto"/>
              <w:bottom w:val="single" w:sz="6" w:space="0" w:color="auto"/>
              <w:right w:val="single" w:sz="6" w:space="0" w:color="auto"/>
            </w:tcBorders>
          </w:tcPr>
          <w:p w14:paraId="201CAF7E" w14:textId="77777777" w:rsidR="00BD6A07" w:rsidRDefault="00BD6A07" w:rsidP="00154DDE">
            <w:pPr>
              <w:spacing w:before="360"/>
              <w:rPr>
                <w:rFonts w:ascii="Arial" w:hAnsi="Arial"/>
                <w:b/>
                <w:sz w:val="18"/>
              </w:rPr>
            </w:pPr>
            <w:r>
              <w:rPr>
                <w:rFonts w:ascii="Arial" w:hAnsi="Arial"/>
                <w:b/>
                <w:sz w:val="18"/>
              </w:rPr>
              <w:t>=$1,650,000</w:t>
            </w:r>
          </w:p>
        </w:tc>
        <w:tc>
          <w:tcPr>
            <w:tcW w:w="1282" w:type="dxa"/>
            <w:tcBorders>
              <w:top w:val="single" w:sz="6" w:space="0" w:color="auto"/>
              <w:left w:val="single" w:sz="6" w:space="0" w:color="auto"/>
              <w:bottom w:val="single" w:sz="6" w:space="0" w:color="auto"/>
              <w:right w:val="single" w:sz="6" w:space="0" w:color="auto"/>
            </w:tcBorders>
          </w:tcPr>
          <w:p w14:paraId="07853524"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1C545AAE" w14:textId="77777777" w:rsidR="00BD6A07" w:rsidRDefault="00BD6A07" w:rsidP="00154DDE">
            <w:pPr>
              <w:spacing w:before="36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6B278C51" w14:textId="77777777" w:rsidR="00BD6A07" w:rsidRDefault="00BD6A07" w:rsidP="00154DDE">
            <w:pPr>
              <w:spacing w:before="360"/>
              <w:rPr>
                <w:rFonts w:ascii="Arial" w:hAnsi="Arial"/>
                <w:b/>
                <w:sz w:val="18"/>
              </w:rPr>
            </w:pPr>
            <w:r>
              <w:rPr>
                <w:rFonts w:ascii="Arial" w:hAnsi="Arial"/>
                <w:b/>
                <w:sz w:val="18"/>
              </w:rPr>
              <w:t>=</w:t>
            </w:r>
          </w:p>
        </w:tc>
      </w:tr>
      <w:tr w:rsidR="00BD6A07" w14:paraId="330EFE1A" w14:textId="77777777" w:rsidTr="00154DDE">
        <w:tc>
          <w:tcPr>
            <w:tcW w:w="4950" w:type="dxa"/>
            <w:tcBorders>
              <w:top w:val="single" w:sz="6" w:space="0" w:color="auto"/>
              <w:left w:val="single" w:sz="6" w:space="0" w:color="auto"/>
              <w:bottom w:val="single" w:sz="6" w:space="0" w:color="auto"/>
              <w:right w:val="single" w:sz="6" w:space="0" w:color="auto"/>
            </w:tcBorders>
          </w:tcPr>
          <w:p w14:paraId="734C9E6A" w14:textId="77777777" w:rsidR="00BD6A07" w:rsidRDefault="00BD6A07" w:rsidP="00154DDE">
            <w:pPr>
              <w:pStyle w:val="Heading1"/>
              <w:rPr>
                <w:rFonts w:ascii="Arial" w:hAnsi="Arial"/>
                <w:sz w:val="18"/>
              </w:rPr>
            </w:pPr>
            <w:r>
              <w:rPr>
                <w:rFonts w:ascii="Arial" w:hAnsi="Arial"/>
                <w:sz w:val="18"/>
              </w:rPr>
              <w:t>Coinsurance Percentage</w:t>
            </w:r>
          </w:p>
        </w:tc>
        <w:tc>
          <w:tcPr>
            <w:tcW w:w="1282" w:type="dxa"/>
            <w:tcBorders>
              <w:top w:val="single" w:sz="6" w:space="0" w:color="auto"/>
              <w:left w:val="single" w:sz="6" w:space="0" w:color="auto"/>
              <w:bottom w:val="single" w:sz="6" w:space="0" w:color="auto"/>
              <w:right w:val="single" w:sz="6" w:space="0" w:color="auto"/>
            </w:tcBorders>
          </w:tcPr>
          <w:p w14:paraId="5D662C29" w14:textId="77777777" w:rsidR="00BD6A07" w:rsidRDefault="00BD6A07" w:rsidP="00154DDE">
            <w:pPr>
              <w:rPr>
                <w:rFonts w:ascii="Arial" w:hAnsi="Arial"/>
                <w:b/>
                <w:sz w:val="18"/>
              </w:rPr>
            </w:pPr>
            <w:r>
              <w:rPr>
                <w:rFonts w:ascii="Arial" w:hAnsi="Arial"/>
                <w:b/>
                <w:sz w:val="18"/>
              </w:rPr>
              <w:t>X .80</w:t>
            </w:r>
          </w:p>
        </w:tc>
        <w:tc>
          <w:tcPr>
            <w:tcW w:w="1282" w:type="dxa"/>
            <w:tcBorders>
              <w:top w:val="single" w:sz="6" w:space="0" w:color="auto"/>
              <w:left w:val="single" w:sz="6" w:space="0" w:color="auto"/>
              <w:bottom w:val="single" w:sz="6" w:space="0" w:color="auto"/>
              <w:right w:val="single" w:sz="6" w:space="0" w:color="auto"/>
            </w:tcBorders>
          </w:tcPr>
          <w:p w14:paraId="33B91137" w14:textId="77777777" w:rsidR="00BD6A07" w:rsidRDefault="00BD6A07" w:rsidP="00154DDE">
            <w:pPr>
              <w:rPr>
                <w:rFonts w:ascii="Arial" w:hAnsi="Arial"/>
                <w:b/>
                <w:sz w:val="18"/>
              </w:rPr>
            </w:pPr>
            <w:r>
              <w:rPr>
                <w:rFonts w:ascii="Arial" w:hAnsi="Arial"/>
                <w:b/>
                <w:sz w:val="18"/>
              </w:rPr>
              <w:t>x</w:t>
            </w:r>
          </w:p>
        </w:tc>
        <w:tc>
          <w:tcPr>
            <w:tcW w:w="1282" w:type="dxa"/>
            <w:tcBorders>
              <w:top w:val="single" w:sz="6" w:space="0" w:color="auto"/>
              <w:left w:val="single" w:sz="6" w:space="0" w:color="auto"/>
              <w:bottom w:val="single" w:sz="6" w:space="0" w:color="auto"/>
              <w:right w:val="single" w:sz="6" w:space="0" w:color="auto"/>
            </w:tcBorders>
          </w:tcPr>
          <w:p w14:paraId="5DD6292B" w14:textId="77777777" w:rsidR="00BD6A07" w:rsidRDefault="00BD6A07" w:rsidP="00154DDE">
            <w:pPr>
              <w:rPr>
                <w:rFonts w:ascii="Arial" w:hAnsi="Arial"/>
                <w:b/>
                <w:sz w:val="18"/>
              </w:rPr>
            </w:pPr>
            <w:r>
              <w:rPr>
                <w:rFonts w:ascii="Arial" w:hAnsi="Arial"/>
                <w:b/>
                <w:sz w:val="18"/>
              </w:rPr>
              <w:t>x</w:t>
            </w:r>
          </w:p>
        </w:tc>
        <w:tc>
          <w:tcPr>
            <w:tcW w:w="1277" w:type="dxa"/>
            <w:tcBorders>
              <w:top w:val="single" w:sz="6" w:space="0" w:color="auto"/>
              <w:left w:val="single" w:sz="6" w:space="0" w:color="auto"/>
              <w:bottom w:val="single" w:sz="6" w:space="0" w:color="auto"/>
              <w:right w:val="single" w:sz="6" w:space="0" w:color="auto"/>
            </w:tcBorders>
          </w:tcPr>
          <w:p w14:paraId="7BF64DAE" w14:textId="77777777" w:rsidR="00BD6A07" w:rsidRDefault="00BD6A07" w:rsidP="00154DDE">
            <w:pPr>
              <w:rPr>
                <w:rFonts w:ascii="Arial" w:hAnsi="Arial"/>
                <w:b/>
                <w:sz w:val="18"/>
              </w:rPr>
            </w:pPr>
            <w:r>
              <w:rPr>
                <w:rFonts w:ascii="Arial" w:hAnsi="Arial"/>
                <w:b/>
                <w:sz w:val="18"/>
              </w:rPr>
              <w:t>x</w:t>
            </w:r>
          </w:p>
        </w:tc>
      </w:tr>
      <w:tr w:rsidR="00BD6A07" w14:paraId="78F80118" w14:textId="77777777" w:rsidTr="00154DDE">
        <w:tc>
          <w:tcPr>
            <w:tcW w:w="4950" w:type="dxa"/>
            <w:tcBorders>
              <w:top w:val="single" w:sz="6" w:space="0" w:color="auto"/>
              <w:left w:val="single" w:sz="6" w:space="0" w:color="auto"/>
              <w:bottom w:val="single" w:sz="6" w:space="0" w:color="auto"/>
              <w:right w:val="single" w:sz="6" w:space="0" w:color="auto"/>
            </w:tcBorders>
          </w:tcPr>
          <w:p w14:paraId="613708E1" w14:textId="77777777" w:rsidR="00BD6A07" w:rsidRDefault="00BD6A07" w:rsidP="00154DDE">
            <w:pPr>
              <w:rPr>
                <w:rFonts w:ascii="Arial" w:hAnsi="Arial"/>
                <w:b/>
                <w:sz w:val="18"/>
              </w:rPr>
            </w:pPr>
            <w:r>
              <w:rPr>
                <w:rFonts w:ascii="Arial" w:hAnsi="Arial"/>
                <w:b/>
                <w:sz w:val="18"/>
              </w:rPr>
              <w:t>Adjusted Business Income Exposure</w:t>
            </w:r>
          </w:p>
        </w:tc>
        <w:tc>
          <w:tcPr>
            <w:tcW w:w="1282" w:type="dxa"/>
            <w:tcBorders>
              <w:top w:val="single" w:sz="6" w:space="0" w:color="auto"/>
              <w:left w:val="single" w:sz="6" w:space="0" w:color="auto"/>
              <w:bottom w:val="single" w:sz="6" w:space="0" w:color="auto"/>
              <w:right w:val="single" w:sz="6" w:space="0" w:color="auto"/>
            </w:tcBorders>
          </w:tcPr>
          <w:p w14:paraId="175C8CFD" w14:textId="77777777" w:rsidR="00BD6A07" w:rsidRDefault="00BD6A07" w:rsidP="00154DDE">
            <w:pPr>
              <w:spacing w:before="120"/>
              <w:rPr>
                <w:rFonts w:ascii="Arial" w:hAnsi="Arial"/>
                <w:b/>
                <w:sz w:val="18"/>
              </w:rPr>
            </w:pPr>
            <w:r>
              <w:rPr>
                <w:rFonts w:ascii="Arial" w:hAnsi="Arial"/>
                <w:b/>
                <w:sz w:val="18"/>
              </w:rPr>
              <w:t>=$1,320,000</w:t>
            </w:r>
          </w:p>
        </w:tc>
        <w:tc>
          <w:tcPr>
            <w:tcW w:w="1282" w:type="dxa"/>
            <w:tcBorders>
              <w:top w:val="single" w:sz="6" w:space="0" w:color="auto"/>
              <w:left w:val="single" w:sz="6" w:space="0" w:color="auto"/>
              <w:bottom w:val="single" w:sz="6" w:space="0" w:color="auto"/>
              <w:right w:val="single" w:sz="6" w:space="0" w:color="auto"/>
            </w:tcBorders>
          </w:tcPr>
          <w:p w14:paraId="549972F1" w14:textId="77777777" w:rsidR="00BD6A07" w:rsidRDefault="00BD6A07" w:rsidP="00154DDE">
            <w:pPr>
              <w:spacing w:before="12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1DDB67C3" w14:textId="77777777" w:rsidR="00BD6A07" w:rsidRDefault="00BD6A07" w:rsidP="00154DDE">
            <w:pPr>
              <w:spacing w:before="12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05286003" w14:textId="77777777" w:rsidR="00BD6A07" w:rsidRDefault="00BD6A07" w:rsidP="00154DDE">
            <w:pPr>
              <w:spacing w:before="120"/>
              <w:rPr>
                <w:rFonts w:ascii="Arial" w:hAnsi="Arial"/>
                <w:b/>
                <w:sz w:val="18"/>
              </w:rPr>
            </w:pPr>
            <w:r>
              <w:rPr>
                <w:rFonts w:ascii="Arial" w:hAnsi="Arial"/>
                <w:b/>
                <w:sz w:val="18"/>
              </w:rPr>
              <w:t>=</w:t>
            </w:r>
          </w:p>
        </w:tc>
      </w:tr>
      <w:tr w:rsidR="00BD6A07" w14:paraId="646C887F" w14:textId="77777777" w:rsidTr="00154DDE">
        <w:tc>
          <w:tcPr>
            <w:tcW w:w="4950" w:type="dxa"/>
            <w:tcBorders>
              <w:top w:val="single" w:sz="6" w:space="0" w:color="auto"/>
              <w:left w:val="single" w:sz="6" w:space="0" w:color="auto"/>
              <w:bottom w:val="single" w:sz="6" w:space="0" w:color="auto"/>
              <w:right w:val="single" w:sz="6" w:space="0" w:color="auto"/>
            </w:tcBorders>
          </w:tcPr>
          <w:p w14:paraId="5D4EE3C9" w14:textId="77777777" w:rsidR="00BD6A07" w:rsidRDefault="00BD6A07" w:rsidP="00154DDE">
            <w:pPr>
              <w:rPr>
                <w:rFonts w:ascii="Arial" w:hAnsi="Arial"/>
                <w:sz w:val="18"/>
              </w:rPr>
            </w:pPr>
            <w:r>
              <w:rPr>
                <w:rFonts w:ascii="Arial" w:hAnsi="Arial"/>
                <w:b/>
                <w:sz w:val="18"/>
              </w:rPr>
              <w:t>Extra Expense Exposure</w:t>
            </w:r>
            <w:r>
              <w:rPr>
                <w:rFonts w:ascii="Arial" w:hAnsi="Arial"/>
                <w:sz w:val="18"/>
              </w:rPr>
              <w:t xml:space="preserve"> – Enter the anticipated amount needed to pay the increased expenses over normal expenses to keep an interrupted business in operation.  Consider such items as increased rent, advertising costs, moving expenses, additional hourly wages, increased utilities, computer equipment, rental &amp; data reproduction.  (Complete this section if requesting Combined Business Income and Extra Expense coverage)</w:t>
            </w:r>
          </w:p>
        </w:tc>
        <w:tc>
          <w:tcPr>
            <w:tcW w:w="1282" w:type="dxa"/>
            <w:tcBorders>
              <w:top w:val="single" w:sz="6" w:space="0" w:color="auto"/>
              <w:left w:val="single" w:sz="6" w:space="0" w:color="auto"/>
              <w:bottom w:val="single" w:sz="6" w:space="0" w:color="auto"/>
              <w:right w:val="single" w:sz="6" w:space="0" w:color="auto"/>
            </w:tcBorders>
          </w:tcPr>
          <w:p w14:paraId="36858FC7" w14:textId="77777777" w:rsidR="00BD6A07" w:rsidRDefault="00BD6A07" w:rsidP="00154DDE">
            <w:pPr>
              <w:spacing w:before="1200"/>
              <w:rPr>
                <w:rFonts w:ascii="Arial" w:hAnsi="Arial"/>
                <w:b/>
                <w:sz w:val="18"/>
              </w:rPr>
            </w:pPr>
            <w:r>
              <w:rPr>
                <w:rFonts w:ascii="Arial" w:hAnsi="Arial"/>
                <w:b/>
                <w:sz w:val="18"/>
              </w:rPr>
              <w:t>+$100,000</w:t>
            </w:r>
          </w:p>
        </w:tc>
        <w:tc>
          <w:tcPr>
            <w:tcW w:w="1282" w:type="dxa"/>
            <w:tcBorders>
              <w:top w:val="single" w:sz="6" w:space="0" w:color="auto"/>
              <w:left w:val="single" w:sz="6" w:space="0" w:color="auto"/>
              <w:bottom w:val="single" w:sz="6" w:space="0" w:color="auto"/>
              <w:right w:val="single" w:sz="6" w:space="0" w:color="auto"/>
            </w:tcBorders>
          </w:tcPr>
          <w:p w14:paraId="3CE9A580" w14:textId="77777777" w:rsidR="00BD6A07" w:rsidRDefault="00BD6A07" w:rsidP="00154DDE">
            <w:pPr>
              <w:spacing w:before="120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6A7F0207" w14:textId="77777777" w:rsidR="00BD6A07" w:rsidRDefault="00BD6A07" w:rsidP="00154DDE">
            <w:pPr>
              <w:spacing w:before="120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257DC147" w14:textId="77777777" w:rsidR="00BD6A07" w:rsidRDefault="00BD6A07" w:rsidP="00154DDE">
            <w:pPr>
              <w:spacing w:before="1200"/>
              <w:rPr>
                <w:rFonts w:ascii="Arial" w:hAnsi="Arial"/>
                <w:b/>
                <w:sz w:val="18"/>
              </w:rPr>
            </w:pPr>
            <w:r>
              <w:rPr>
                <w:rFonts w:ascii="Arial" w:hAnsi="Arial"/>
                <w:b/>
                <w:sz w:val="18"/>
              </w:rPr>
              <w:t>+</w:t>
            </w:r>
          </w:p>
        </w:tc>
      </w:tr>
      <w:tr w:rsidR="00BD6A07" w14:paraId="4C9E1CB0" w14:textId="77777777" w:rsidTr="00154DDE">
        <w:tc>
          <w:tcPr>
            <w:tcW w:w="4950" w:type="dxa"/>
            <w:tcBorders>
              <w:top w:val="single" w:sz="6" w:space="0" w:color="auto"/>
              <w:left w:val="single" w:sz="6" w:space="0" w:color="auto"/>
              <w:bottom w:val="single" w:sz="6" w:space="0" w:color="auto"/>
              <w:right w:val="single" w:sz="6" w:space="0" w:color="auto"/>
            </w:tcBorders>
          </w:tcPr>
          <w:p w14:paraId="32BD69D2" w14:textId="77777777" w:rsidR="00BD6A07" w:rsidRDefault="00BD6A07" w:rsidP="00154DDE">
            <w:pPr>
              <w:rPr>
                <w:rFonts w:ascii="Arial" w:hAnsi="Arial"/>
                <w:sz w:val="18"/>
              </w:rPr>
            </w:pPr>
            <w:r>
              <w:rPr>
                <w:rFonts w:ascii="Arial" w:hAnsi="Arial"/>
                <w:b/>
                <w:sz w:val="18"/>
              </w:rPr>
              <w:t>Extended Business Income and Extended Period of Indemnity Exposure</w:t>
            </w:r>
            <w:r>
              <w:rPr>
                <w:rFonts w:ascii="Arial" w:hAnsi="Arial"/>
                <w:sz w:val="18"/>
              </w:rPr>
              <w:t xml:space="preserve"> –Enter the anticipated amount of reduced earnings that might be expected during the twelve months after you are able to resume normal business operations.</w:t>
            </w:r>
          </w:p>
        </w:tc>
        <w:tc>
          <w:tcPr>
            <w:tcW w:w="1282" w:type="dxa"/>
            <w:tcBorders>
              <w:top w:val="single" w:sz="6" w:space="0" w:color="auto"/>
              <w:left w:val="single" w:sz="6" w:space="0" w:color="auto"/>
              <w:bottom w:val="single" w:sz="6" w:space="0" w:color="auto"/>
              <w:right w:val="single" w:sz="6" w:space="0" w:color="auto"/>
            </w:tcBorders>
          </w:tcPr>
          <w:p w14:paraId="27917688"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127CFFB3"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606A23A8" w14:textId="77777777" w:rsidR="00BD6A07" w:rsidRDefault="00BD6A07" w:rsidP="00154DDE">
            <w:pPr>
              <w:spacing w:before="36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62E6D59F" w14:textId="77777777" w:rsidR="00BD6A07" w:rsidRDefault="00BD6A07" w:rsidP="00154DDE">
            <w:pPr>
              <w:spacing w:before="360"/>
              <w:rPr>
                <w:rFonts w:ascii="Arial" w:hAnsi="Arial"/>
                <w:b/>
                <w:sz w:val="18"/>
              </w:rPr>
            </w:pPr>
            <w:r>
              <w:rPr>
                <w:rFonts w:ascii="Arial" w:hAnsi="Arial"/>
                <w:b/>
                <w:sz w:val="18"/>
              </w:rPr>
              <w:t>+</w:t>
            </w:r>
          </w:p>
        </w:tc>
      </w:tr>
      <w:tr w:rsidR="00BD6A07" w14:paraId="44619231" w14:textId="77777777" w:rsidTr="00154DDE">
        <w:tc>
          <w:tcPr>
            <w:tcW w:w="4950" w:type="dxa"/>
            <w:tcBorders>
              <w:top w:val="single" w:sz="6" w:space="0" w:color="auto"/>
              <w:left w:val="single" w:sz="6" w:space="0" w:color="auto"/>
              <w:bottom w:val="single" w:sz="6" w:space="0" w:color="auto"/>
              <w:right w:val="single" w:sz="6" w:space="0" w:color="auto"/>
            </w:tcBorders>
          </w:tcPr>
          <w:p w14:paraId="68BF634D" w14:textId="77777777" w:rsidR="00BD6A07" w:rsidRDefault="00BD6A07" w:rsidP="00154DDE">
            <w:pPr>
              <w:pStyle w:val="Heading1"/>
              <w:rPr>
                <w:rFonts w:ascii="Arial" w:hAnsi="Arial"/>
                <w:sz w:val="18"/>
              </w:rPr>
            </w:pPr>
            <w:r>
              <w:rPr>
                <w:rFonts w:ascii="Arial" w:hAnsi="Arial"/>
                <w:sz w:val="18"/>
              </w:rPr>
              <w:t xml:space="preserve">Margin for Error: </w:t>
            </w:r>
            <w:r>
              <w:rPr>
                <w:rFonts w:ascii="Arial" w:hAnsi="Arial"/>
                <w:b w:val="0"/>
                <w:sz w:val="18"/>
              </w:rPr>
              <w:t>This figure should reflect the expected change in earnings for the upcoming year, allowing for both growth and inflation.</w:t>
            </w:r>
          </w:p>
        </w:tc>
        <w:tc>
          <w:tcPr>
            <w:tcW w:w="1282" w:type="dxa"/>
            <w:tcBorders>
              <w:top w:val="single" w:sz="6" w:space="0" w:color="auto"/>
              <w:left w:val="single" w:sz="6" w:space="0" w:color="auto"/>
              <w:bottom w:val="single" w:sz="6" w:space="0" w:color="auto"/>
              <w:right w:val="single" w:sz="6" w:space="0" w:color="auto"/>
            </w:tcBorders>
          </w:tcPr>
          <w:p w14:paraId="1151793C" w14:textId="77777777" w:rsidR="00BD6A07" w:rsidRDefault="00BD6A07" w:rsidP="00154DDE">
            <w:pPr>
              <w:spacing w:before="360"/>
              <w:rPr>
                <w:rFonts w:ascii="Arial" w:hAnsi="Arial"/>
                <w:b/>
                <w:sz w:val="18"/>
              </w:rPr>
            </w:pPr>
            <w:r>
              <w:rPr>
                <w:rFonts w:ascii="Arial" w:hAnsi="Arial"/>
                <w:b/>
                <w:sz w:val="18"/>
              </w:rPr>
              <w:t>+$50,000</w:t>
            </w:r>
          </w:p>
        </w:tc>
        <w:tc>
          <w:tcPr>
            <w:tcW w:w="1282" w:type="dxa"/>
            <w:tcBorders>
              <w:top w:val="single" w:sz="6" w:space="0" w:color="auto"/>
              <w:left w:val="single" w:sz="6" w:space="0" w:color="auto"/>
              <w:bottom w:val="single" w:sz="6" w:space="0" w:color="auto"/>
              <w:right w:val="single" w:sz="6" w:space="0" w:color="auto"/>
            </w:tcBorders>
          </w:tcPr>
          <w:p w14:paraId="7DA4BAB9"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339C59CC" w14:textId="77777777" w:rsidR="00BD6A07" w:rsidRDefault="00BD6A07" w:rsidP="00154DDE">
            <w:pPr>
              <w:spacing w:before="36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102DB410" w14:textId="77777777" w:rsidR="00BD6A07" w:rsidRDefault="00BD6A07" w:rsidP="00154DDE">
            <w:pPr>
              <w:spacing w:before="360"/>
              <w:rPr>
                <w:rFonts w:ascii="Arial" w:hAnsi="Arial"/>
                <w:b/>
                <w:sz w:val="18"/>
              </w:rPr>
            </w:pPr>
            <w:r>
              <w:rPr>
                <w:rFonts w:ascii="Arial" w:hAnsi="Arial"/>
                <w:b/>
                <w:sz w:val="18"/>
              </w:rPr>
              <w:t>+</w:t>
            </w:r>
          </w:p>
        </w:tc>
      </w:tr>
      <w:tr w:rsidR="00BD6A07" w14:paraId="4233CF91" w14:textId="77777777" w:rsidTr="00154DDE">
        <w:tc>
          <w:tcPr>
            <w:tcW w:w="4950" w:type="dxa"/>
            <w:tcBorders>
              <w:top w:val="single" w:sz="6" w:space="0" w:color="auto"/>
              <w:left w:val="single" w:sz="6" w:space="0" w:color="auto"/>
              <w:bottom w:val="single" w:sz="6" w:space="0" w:color="auto"/>
              <w:right w:val="single" w:sz="6" w:space="0" w:color="auto"/>
            </w:tcBorders>
          </w:tcPr>
          <w:p w14:paraId="6E324D78" w14:textId="77777777" w:rsidR="00BD6A07" w:rsidRDefault="00BD6A07" w:rsidP="00154DDE">
            <w:pPr>
              <w:pStyle w:val="Heading1"/>
              <w:rPr>
                <w:rFonts w:ascii="Arial" w:hAnsi="Arial"/>
                <w:b w:val="0"/>
                <w:sz w:val="18"/>
              </w:rPr>
            </w:pPr>
            <w:r>
              <w:rPr>
                <w:rFonts w:ascii="Arial" w:hAnsi="Arial"/>
                <w:sz w:val="18"/>
              </w:rPr>
              <w:t xml:space="preserve">Total Business Income Exposure – </w:t>
            </w:r>
            <w:r>
              <w:rPr>
                <w:rFonts w:ascii="Arial" w:hAnsi="Arial"/>
                <w:b w:val="0"/>
                <w:sz w:val="18"/>
              </w:rPr>
              <w:t xml:space="preserve">This is the sum of Adjusted Business Income, Extra Expense and Extended Business Income and Extended Period of Indemnity Exposures.  </w:t>
            </w:r>
          </w:p>
        </w:tc>
        <w:tc>
          <w:tcPr>
            <w:tcW w:w="1282" w:type="dxa"/>
            <w:tcBorders>
              <w:top w:val="single" w:sz="6" w:space="0" w:color="auto"/>
              <w:left w:val="single" w:sz="6" w:space="0" w:color="auto"/>
              <w:bottom w:val="single" w:sz="6" w:space="0" w:color="auto"/>
              <w:right w:val="single" w:sz="6" w:space="0" w:color="auto"/>
            </w:tcBorders>
          </w:tcPr>
          <w:p w14:paraId="1AD2F579" w14:textId="77777777" w:rsidR="00BD6A07" w:rsidRDefault="00BD6A07" w:rsidP="00154DDE">
            <w:pPr>
              <w:spacing w:before="360"/>
              <w:rPr>
                <w:rFonts w:ascii="Arial" w:hAnsi="Arial"/>
                <w:b/>
                <w:sz w:val="18"/>
              </w:rPr>
            </w:pPr>
            <w:r>
              <w:rPr>
                <w:rFonts w:ascii="Arial" w:hAnsi="Arial"/>
                <w:b/>
                <w:sz w:val="18"/>
              </w:rPr>
              <w:t>=$1,470,000</w:t>
            </w:r>
          </w:p>
        </w:tc>
        <w:tc>
          <w:tcPr>
            <w:tcW w:w="1282" w:type="dxa"/>
            <w:tcBorders>
              <w:top w:val="single" w:sz="6" w:space="0" w:color="auto"/>
              <w:left w:val="single" w:sz="6" w:space="0" w:color="auto"/>
              <w:bottom w:val="single" w:sz="6" w:space="0" w:color="auto"/>
              <w:right w:val="single" w:sz="6" w:space="0" w:color="auto"/>
            </w:tcBorders>
          </w:tcPr>
          <w:p w14:paraId="2A1FE69E" w14:textId="77777777" w:rsidR="00BD6A07" w:rsidRDefault="00BD6A07" w:rsidP="00154DDE">
            <w:pPr>
              <w:spacing w:before="360"/>
              <w:rPr>
                <w:rFonts w:ascii="Arial" w:hAnsi="Arial"/>
                <w:b/>
                <w:sz w:val="18"/>
              </w:rPr>
            </w:pPr>
            <w:r>
              <w:rPr>
                <w:rFonts w:ascii="Arial" w:hAnsi="Arial"/>
                <w:b/>
                <w:sz w:val="18"/>
              </w:rPr>
              <w:t>=</w:t>
            </w:r>
          </w:p>
        </w:tc>
        <w:tc>
          <w:tcPr>
            <w:tcW w:w="1282" w:type="dxa"/>
            <w:tcBorders>
              <w:top w:val="single" w:sz="6" w:space="0" w:color="auto"/>
              <w:left w:val="single" w:sz="6" w:space="0" w:color="auto"/>
              <w:bottom w:val="single" w:sz="6" w:space="0" w:color="auto"/>
              <w:right w:val="single" w:sz="6" w:space="0" w:color="auto"/>
            </w:tcBorders>
          </w:tcPr>
          <w:p w14:paraId="24DF1610" w14:textId="77777777" w:rsidR="00BD6A07" w:rsidRDefault="00BD6A07" w:rsidP="00154DDE">
            <w:pPr>
              <w:spacing w:before="360"/>
              <w:rPr>
                <w:rFonts w:ascii="Arial" w:hAnsi="Arial"/>
                <w:b/>
                <w:sz w:val="18"/>
              </w:rPr>
            </w:pPr>
            <w:r>
              <w:rPr>
                <w:rFonts w:ascii="Arial" w:hAnsi="Arial"/>
                <w:b/>
                <w:sz w:val="18"/>
              </w:rPr>
              <w:t>=</w:t>
            </w:r>
          </w:p>
        </w:tc>
        <w:tc>
          <w:tcPr>
            <w:tcW w:w="1277" w:type="dxa"/>
            <w:tcBorders>
              <w:top w:val="single" w:sz="6" w:space="0" w:color="auto"/>
              <w:left w:val="single" w:sz="6" w:space="0" w:color="auto"/>
              <w:bottom w:val="single" w:sz="6" w:space="0" w:color="auto"/>
              <w:right w:val="single" w:sz="6" w:space="0" w:color="auto"/>
            </w:tcBorders>
          </w:tcPr>
          <w:p w14:paraId="1D5E3569" w14:textId="77777777" w:rsidR="00BD6A07" w:rsidRDefault="00BD6A07" w:rsidP="00154DDE">
            <w:pPr>
              <w:spacing w:before="360"/>
              <w:rPr>
                <w:rFonts w:ascii="Arial" w:hAnsi="Arial"/>
                <w:b/>
                <w:sz w:val="18"/>
              </w:rPr>
            </w:pPr>
            <w:r>
              <w:rPr>
                <w:rFonts w:ascii="Arial" w:hAnsi="Arial"/>
                <w:b/>
                <w:sz w:val="18"/>
              </w:rPr>
              <w:t>=</w:t>
            </w:r>
          </w:p>
        </w:tc>
      </w:tr>
    </w:tbl>
    <w:p w14:paraId="58AEC005" w14:textId="77777777" w:rsidR="00BD6A07" w:rsidRDefault="00BD6A07" w:rsidP="00BD6A07">
      <w:pPr>
        <w:ind w:left="1440"/>
        <w:rPr>
          <w:rFonts w:ascii="Arial" w:hAnsi="Arial"/>
          <w:sz w:val="18"/>
        </w:rPr>
      </w:pPr>
    </w:p>
    <w:p w14:paraId="4309718F" w14:textId="77777777" w:rsidR="00BD6A07" w:rsidRDefault="00BD6A07" w:rsidP="00BD6A07">
      <w:pPr>
        <w:rPr>
          <w:rFonts w:ascii="Arial" w:hAnsi="Arial"/>
          <w:b/>
          <w:sz w:val="18"/>
        </w:rPr>
      </w:pPr>
      <w:r>
        <w:rPr>
          <w:rFonts w:ascii="Arial" w:hAnsi="Arial"/>
          <w:b/>
          <w:sz w:val="18"/>
        </w:rPr>
        <w:t>Insured Signature_________________________________ Title_________________________________</w:t>
      </w:r>
    </w:p>
    <w:p w14:paraId="5C564A72" w14:textId="77777777" w:rsidR="00BD6A07" w:rsidRDefault="00BD6A07" w:rsidP="00BD6A07">
      <w:pPr>
        <w:rPr>
          <w:rFonts w:ascii="Arial" w:hAnsi="Arial"/>
          <w:b/>
          <w:sz w:val="18"/>
        </w:rPr>
      </w:pPr>
      <w:r>
        <w:rPr>
          <w:rFonts w:ascii="Arial" w:hAnsi="Arial"/>
          <w:b/>
          <w:sz w:val="18"/>
        </w:rPr>
        <w:t xml:space="preserve">             </w:t>
      </w:r>
    </w:p>
    <w:p w14:paraId="11FF24D1" w14:textId="33A9CF12" w:rsidR="006111DC" w:rsidRPr="00592BAD" w:rsidRDefault="00BD6A07">
      <w:pPr>
        <w:rPr>
          <w:rFonts w:ascii="Arial" w:hAnsi="Arial"/>
          <w:b/>
          <w:sz w:val="18"/>
        </w:rPr>
      </w:pPr>
      <w:r>
        <w:rPr>
          <w:rFonts w:ascii="Arial" w:hAnsi="Arial"/>
          <w:b/>
          <w:sz w:val="18"/>
        </w:rPr>
        <w:t>Printed Name</w:t>
      </w:r>
      <w:r w:rsidRPr="00BD6A07">
        <w:rPr>
          <w:rFonts w:ascii="Arial" w:hAnsi="Arial"/>
          <w:b/>
          <w:sz w:val="18"/>
        </w:rPr>
        <w:t>_________________________________</w:t>
      </w:r>
      <w:r>
        <w:rPr>
          <w:rFonts w:ascii="Arial" w:hAnsi="Arial"/>
          <w:b/>
          <w:sz w:val="18"/>
        </w:rPr>
        <w:t xml:space="preserve">____   </w:t>
      </w:r>
      <w:r w:rsidR="00592BAD">
        <w:rPr>
          <w:rFonts w:ascii="Arial" w:hAnsi="Arial"/>
          <w:b/>
          <w:sz w:val="18"/>
        </w:rPr>
        <w:t xml:space="preserve">Date: </w:t>
      </w:r>
      <w:r w:rsidR="00592BAD">
        <w:rPr>
          <w:rFonts w:ascii="Arial" w:hAnsi="Arial"/>
          <w:b/>
          <w:sz w:val="18"/>
        </w:rPr>
        <w:t>___________________</w:t>
      </w:r>
    </w:p>
    <w:sectPr w:rsidR="006111DC" w:rsidRPr="00592BAD" w:rsidSect="00592BAD">
      <w:headerReference w:type="default" r:id="rId9"/>
      <w:pgSz w:w="12240" w:h="15840"/>
      <w:pgMar w:top="144" w:right="1800" w:bottom="43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F485" w14:textId="77777777" w:rsidR="007936ED" w:rsidRDefault="007936ED" w:rsidP="00BD6A07">
      <w:r>
        <w:separator/>
      </w:r>
    </w:p>
  </w:endnote>
  <w:endnote w:type="continuationSeparator" w:id="0">
    <w:p w14:paraId="2B9A0F84" w14:textId="77777777" w:rsidR="007936ED" w:rsidRDefault="007936ED" w:rsidP="00BD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NAFont2">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D3E4" w14:textId="77777777" w:rsidR="007936ED" w:rsidRDefault="007936ED" w:rsidP="00BD6A07">
      <w:r>
        <w:separator/>
      </w:r>
    </w:p>
  </w:footnote>
  <w:footnote w:type="continuationSeparator" w:id="0">
    <w:p w14:paraId="43B3F992" w14:textId="77777777" w:rsidR="007936ED" w:rsidRDefault="007936ED" w:rsidP="00BD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A719" w14:textId="77777777" w:rsidR="000C6008" w:rsidRDefault="00BD6A07" w:rsidP="00592BAD">
    <w:pPr>
      <w:pStyle w:val="Header"/>
      <w:jc w:val="center"/>
      <w:rPr>
        <w:rFonts w:ascii="CNAFont2" w:hAnsi="CNAFont2"/>
        <w:sz w:val="110"/>
      </w:rPr>
    </w:pPr>
    <w:r>
      <w:rPr>
        <w:rFonts w:ascii="CNAFont2" w:hAnsi="CNAFont2"/>
        <w:noProof/>
        <w:sz w:val="110"/>
      </w:rPr>
      <w:drawing>
        <wp:inline distT="0" distB="0" distL="0" distR="0" wp14:anchorId="22EDC650" wp14:editId="72030346">
          <wp:extent cx="134302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A07"/>
    <w:rsid w:val="00174F92"/>
    <w:rsid w:val="00592BAD"/>
    <w:rsid w:val="006111DC"/>
    <w:rsid w:val="007936ED"/>
    <w:rsid w:val="00BD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35A6E"/>
  <w15:docId w15:val="{1C7A15A3-78B9-490B-B0F1-2EE6FD26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6A0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A07"/>
    <w:rPr>
      <w:rFonts w:ascii="Times New Roman" w:eastAsia="Times New Roman" w:hAnsi="Times New Roman" w:cs="Times New Roman"/>
      <w:b/>
      <w:sz w:val="20"/>
      <w:szCs w:val="20"/>
    </w:rPr>
  </w:style>
  <w:style w:type="paragraph" w:styleId="Title">
    <w:name w:val="Title"/>
    <w:basedOn w:val="Normal"/>
    <w:link w:val="TitleChar"/>
    <w:qFormat/>
    <w:rsid w:val="00BD6A07"/>
    <w:pPr>
      <w:jc w:val="center"/>
    </w:pPr>
    <w:rPr>
      <w:b/>
    </w:rPr>
  </w:style>
  <w:style w:type="character" w:customStyle="1" w:styleId="TitleChar">
    <w:name w:val="Title Char"/>
    <w:basedOn w:val="DefaultParagraphFont"/>
    <w:link w:val="Title"/>
    <w:rsid w:val="00BD6A07"/>
    <w:rPr>
      <w:rFonts w:ascii="Times New Roman" w:eastAsia="Times New Roman" w:hAnsi="Times New Roman" w:cs="Times New Roman"/>
      <w:b/>
      <w:sz w:val="20"/>
      <w:szCs w:val="20"/>
    </w:rPr>
  </w:style>
  <w:style w:type="paragraph" w:styleId="Header">
    <w:name w:val="header"/>
    <w:basedOn w:val="Normal"/>
    <w:link w:val="HeaderChar"/>
    <w:rsid w:val="00BD6A07"/>
    <w:pPr>
      <w:tabs>
        <w:tab w:val="center" w:pos="4320"/>
        <w:tab w:val="right" w:pos="8640"/>
      </w:tabs>
    </w:pPr>
  </w:style>
  <w:style w:type="character" w:customStyle="1" w:styleId="HeaderChar">
    <w:name w:val="Header Char"/>
    <w:basedOn w:val="DefaultParagraphFont"/>
    <w:link w:val="Header"/>
    <w:rsid w:val="00BD6A07"/>
    <w:rPr>
      <w:rFonts w:ascii="Times New Roman" w:eastAsia="Times New Roman" w:hAnsi="Times New Roman" w:cs="Times New Roman"/>
      <w:sz w:val="20"/>
      <w:szCs w:val="20"/>
    </w:rPr>
  </w:style>
  <w:style w:type="paragraph" w:styleId="BodyText2">
    <w:name w:val="Body Text 2"/>
    <w:basedOn w:val="Normal"/>
    <w:link w:val="BodyText2Char"/>
    <w:rsid w:val="00BD6A07"/>
    <w:pPr>
      <w:spacing w:before="120"/>
      <w:jc w:val="right"/>
    </w:pPr>
    <w:rPr>
      <w:rFonts w:ascii="Arial" w:hAnsi="Arial"/>
      <w:b/>
      <w:sz w:val="18"/>
    </w:rPr>
  </w:style>
  <w:style w:type="character" w:customStyle="1" w:styleId="BodyText2Char">
    <w:name w:val="Body Text 2 Char"/>
    <w:basedOn w:val="DefaultParagraphFont"/>
    <w:link w:val="BodyText2"/>
    <w:rsid w:val="00BD6A07"/>
    <w:rPr>
      <w:rFonts w:ascii="Arial" w:eastAsia="Times New Roman" w:hAnsi="Arial" w:cs="Times New Roman"/>
      <w:b/>
      <w:sz w:val="18"/>
      <w:szCs w:val="20"/>
    </w:rPr>
  </w:style>
  <w:style w:type="paragraph" w:styleId="Footer">
    <w:name w:val="footer"/>
    <w:basedOn w:val="Normal"/>
    <w:link w:val="FooterChar"/>
    <w:uiPriority w:val="99"/>
    <w:unhideWhenUsed/>
    <w:rsid w:val="00BD6A07"/>
    <w:pPr>
      <w:tabs>
        <w:tab w:val="center" w:pos="4680"/>
        <w:tab w:val="right" w:pos="9360"/>
      </w:tabs>
    </w:pPr>
  </w:style>
  <w:style w:type="character" w:customStyle="1" w:styleId="FooterChar">
    <w:name w:val="Footer Char"/>
    <w:basedOn w:val="DefaultParagraphFont"/>
    <w:link w:val="Footer"/>
    <w:uiPriority w:val="99"/>
    <w:rsid w:val="00BD6A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6A07"/>
    <w:rPr>
      <w:rFonts w:ascii="Tahoma" w:hAnsi="Tahoma" w:cs="Tahoma"/>
      <w:sz w:val="16"/>
      <w:szCs w:val="16"/>
    </w:rPr>
  </w:style>
  <w:style w:type="character" w:customStyle="1" w:styleId="BalloonTextChar">
    <w:name w:val="Balloon Text Char"/>
    <w:basedOn w:val="DefaultParagraphFont"/>
    <w:link w:val="BalloonText"/>
    <w:uiPriority w:val="99"/>
    <w:semiHidden/>
    <w:rsid w:val="00BD6A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CBB452726D224EBDA1E154BE56F366" ma:contentTypeVersion="5" ma:contentTypeDescription="Create a new document." ma:contentTypeScope="" ma:versionID="488d79ba8211a507d3ed4868bf4a3360">
  <xsd:schema xmlns:xsd="http://www.w3.org/2001/XMLSchema" xmlns:xs="http://www.w3.org/2001/XMLSchema" xmlns:p="http://schemas.microsoft.com/office/2006/metadata/properties" xmlns:ns2="36276aae-83b2-4ead-8e8d-c330b8b93c39" targetNamespace="http://schemas.microsoft.com/office/2006/metadata/properties" ma:root="true" ma:fieldsID="9221894eec4366b4b92161315a790cd5" ns2:_="">
    <xsd:import namespace="36276aae-83b2-4ead-8e8d-c330b8b93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76aae-83b2-4ead-8e8d-c330b8b93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8D8A5-7323-400F-8AC5-63B1BDF368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4D370-D54C-42C6-9CAC-47E8B802412B}">
  <ds:schemaRefs>
    <ds:schemaRef ds:uri="http://schemas.microsoft.com/sharepoint/v3/contenttype/forms"/>
  </ds:schemaRefs>
</ds:datastoreItem>
</file>

<file path=customXml/itemProps3.xml><?xml version="1.0" encoding="utf-8"?>
<ds:datastoreItem xmlns:ds="http://schemas.openxmlformats.org/officeDocument/2006/customXml" ds:itemID="{EC90331C-B134-4DCB-988D-F5967B483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76aae-83b2-4ead-8e8d-c330b8b93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Josh Witt</cp:lastModifiedBy>
  <cp:revision>2</cp:revision>
  <dcterms:created xsi:type="dcterms:W3CDTF">2021-08-15T14:28:00Z</dcterms:created>
  <dcterms:modified xsi:type="dcterms:W3CDTF">2021-08-15T14:28:00Z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0x0101000CCBB452726D224EBDA1E154BE56F366</vt:lpwstr>
  </property>
</Properties>
</file>